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ind w:end="-567"/>
        <w:jc w:val="center"/>
        <w:rPr>
          <w:rFonts w:ascii="Arial" w:hAnsi="Arial" w:eastAsia="Arial" w:cs="Arial"/>
        </w:rPr>
      </w:pPr>
      <w:r>
        <w:rPr>
          <w:rFonts w:eastAsia="Arial" w:cs="Arial" w:ascii="Arial" w:hAnsi="Arial"/>
          <w:b/>
        </w:rPr>
        <w:t xml:space="preserve">ECLARAÇÃO DE DISPENSA DE ALVARÁ DE BOMBEIROS       </w:t>
      </w:r>
    </w:p>
    <w:tbl>
      <w:tblPr>
        <w:tblStyle w:val="Table1"/>
        <w:tblW w:w="9495" w:type="dxa"/>
        <w:jc w:val="start"/>
        <w:tblInd w:w="-330" w:type="dxa"/>
        <w:tblLayout w:type="fixed"/>
        <w:tblCellMar>
          <w:top w:w="100" w:type="dxa"/>
          <w:start w:w="100" w:type="dxa"/>
          <w:bottom w:w="100" w:type="dxa"/>
          <w:end w:w="100" w:type="dxa"/>
        </w:tblCellMar>
        <w:tblLook w:val="0600"/>
      </w:tblPr>
      <w:tblGrid>
        <w:gridCol w:w="4664"/>
        <w:gridCol w:w="4831"/>
      </w:tblGrid>
      <w:tr>
        <w:trPr>
          <w:trHeight w:val="440" w:hRule="atLeast"/>
        </w:trPr>
        <w:tc>
          <w:tcPr>
            <w:tcW w:w="9495" w:type="dxa"/>
            <w:gridSpan w:val="2"/>
            <w:tcBorders>
              <w:top w:val="single" w:sz="8" w:space="0" w:color="FFFFFF"/>
              <w:start w:val="single" w:sz="8" w:space="0" w:color="FFFFFF"/>
              <w:bottom w:val="single" w:sz="8" w:space="0" w:color="FFFFFF"/>
              <w:end w:val="single" w:sz="8" w:space="0" w:color="FFFFFF"/>
            </w:tcBorders>
            <w:shd w:fill="auto" w:val="clear"/>
          </w:tcPr>
          <w:p>
            <w:pPr>
              <w:pStyle w:val="normal1"/>
              <w:keepNext w:val="false"/>
              <w:keepLines w:val="false"/>
              <w:widowControl w:val="false"/>
              <w:pBdr/>
              <w:shd w:val="clear" w:fill="auto"/>
              <w:spacing w:lineRule="auto" w:line="240" w:before="0" w:after="0"/>
              <w:ind w:hanging="0" w:start="0" w:end="0"/>
              <w:jc w:val="start"/>
              <w:rPr>
                <w:rFonts w:ascii="Arial" w:hAnsi="Arial" w:eastAsia="Arial" w:cs="Arial"/>
                <w:sz w:val="22"/>
                <w:szCs w:val="22"/>
              </w:rPr>
            </w:pPr>
            <w:r>
              <w:rPr>
                <w:rFonts w:eastAsia="Arial" w:cs="Arial" w:ascii="Arial" w:hAnsi="Arial"/>
                <w:sz w:val="22"/>
                <w:szCs w:val="22"/>
              </w:rPr>
              <w:t>Nome:</w:t>
            </w:r>
          </w:p>
        </w:tc>
      </w:tr>
      <w:tr>
        <w:trPr>
          <w:trHeight w:val="440" w:hRule="atLeast"/>
        </w:trPr>
        <w:tc>
          <w:tcPr>
            <w:tcW w:w="9495" w:type="dxa"/>
            <w:gridSpan w:val="2"/>
            <w:tcBorders>
              <w:top w:val="single" w:sz="8" w:space="0" w:color="FFFFFF"/>
              <w:start w:val="single" w:sz="8" w:space="0" w:color="FFFFFF"/>
              <w:bottom w:val="single" w:sz="8" w:space="0" w:color="FFFFFF"/>
              <w:end w:val="single" w:sz="8" w:space="0" w:color="FFFFFF"/>
            </w:tcBorders>
            <w:shd w:fill="auto" w:val="clear"/>
          </w:tcPr>
          <w:p>
            <w:pPr>
              <w:pStyle w:val="normal1"/>
              <w:keepNext w:val="false"/>
              <w:keepLines w:val="false"/>
              <w:widowControl w:val="false"/>
              <w:pBdr/>
              <w:shd w:val="clear" w:fill="auto"/>
              <w:spacing w:lineRule="auto" w:line="240" w:before="0" w:after="0"/>
              <w:ind w:hanging="0" w:start="0" w:end="0"/>
              <w:jc w:val="start"/>
              <w:rPr>
                <w:rFonts w:ascii="Arial" w:hAnsi="Arial" w:eastAsia="Arial" w:cs="Arial"/>
                <w:sz w:val="22"/>
                <w:szCs w:val="22"/>
              </w:rPr>
            </w:pPr>
            <w:r>
              <w:rPr>
                <w:rFonts w:eastAsia="Arial" w:cs="Arial" w:ascii="Arial" w:hAnsi="Arial"/>
                <w:sz w:val="22"/>
                <w:szCs w:val="22"/>
              </w:rPr>
              <w:t>Razão Social:</w:t>
            </w:r>
          </w:p>
        </w:tc>
      </w:tr>
      <w:tr>
        <w:trPr/>
        <w:tc>
          <w:tcPr>
            <w:tcW w:w="4664" w:type="dxa"/>
            <w:tcBorders>
              <w:top w:val="single" w:sz="8" w:space="0" w:color="FFFFFF"/>
              <w:start w:val="single" w:sz="8" w:space="0" w:color="FFFFFF"/>
              <w:bottom w:val="single" w:sz="8" w:space="0" w:color="FFFFFF"/>
              <w:end w:val="single" w:sz="8" w:space="0" w:color="FFFFFF"/>
            </w:tcBorders>
            <w:shd w:fill="auto" w:val="clear"/>
          </w:tcPr>
          <w:p>
            <w:pPr>
              <w:pStyle w:val="normal1"/>
              <w:keepNext w:val="false"/>
              <w:keepLines w:val="false"/>
              <w:widowControl w:val="false"/>
              <w:pBdr/>
              <w:shd w:val="clear" w:fill="auto"/>
              <w:spacing w:lineRule="auto" w:line="240" w:before="0" w:after="0"/>
              <w:ind w:hanging="0" w:start="0" w:end="0"/>
              <w:jc w:val="start"/>
              <w:rPr>
                <w:rFonts w:ascii="Arial" w:hAnsi="Arial" w:eastAsia="Arial" w:cs="Arial"/>
                <w:sz w:val="22"/>
                <w:szCs w:val="22"/>
              </w:rPr>
            </w:pPr>
            <w:r>
              <w:rPr>
                <w:rFonts w:eastAsia="Arial" w:cs="Arial" w:ascii="Arial" w:hAnsi="Arial"/>
                <w:sz w:val="22"/>
                <w:szCs w:val="22"/>
              </w:rPr>
              <w:t>CPF/CNPJ:</w:t>
            </w:r>
          </w:p>
        </w:tc>
        <w:tc>
          <w:tcPr>
            <w:tcW w:w="4831" w:type="dxa"/>
            <w:tcBorders>
              <w:top w:val="single" w:sz="8" w:space="0" w:color="FFFFFF"/>
              <w:start w:val="single" w:sz="8" w:space="0" w:color="FFFFFF"/>
              <w:bottom w:val="single" w:sz="8" w:space="0" w:color="FFFFFF"/>
              <w:end w:val="single" w:sz="8" w:space="0" w:color="FFFFFF"/>
            </w:tcBorders>
            <w:shd w:fill="auto" w:val="clear"/>
          </w:tcPr>
          <w:p>
            <w:pPr>
              <w:pStyle w:val="normal1"/>
              <w:keepNext w:val="false"/>
              <w:keepLines w:val="false"/>
              <w:widowControl w:val="false"/>
              <w:pBdr/>
              <w:shd w:val="clear" w:fill="auto"/>
              <w:spacing w:lineRule="auto" w:line="240" w:before="0" w:after="0"/>
              <w:ind w:hanging="0" w:start="0" w:end="0"/>
              <w:jc w:val="start"/>
              <w:rPr>
                <w:rFonts w:ascii="Arial" w:hAnsi="Arial" w:eastAsia="Arial" w:cs="Arial"/>
                <w:sz w:val="22"/>
                <w:szCs w:val="22"/>
              </w:rPr>
            </w:pPr>
            <w:r>
              <w:rPr>
                <w:rFonts w:eastAsia="Arial" w:cs="Arial" w:ascii="Arial" w:hAnsi="Arial"/>
                <w:sz w:val="22"/>
                <w:szCs w:val="22"/>
              </w:rPr>
              <w:t>Logradouro:</w:t>
            </w:r>
          </w:p>
        </w:tc>
      </w:tr>
    </w:tbl>
    <w:p>
      <w:pPr>
        <w:pStyle w:val="normal1"/>
        <w:ind w:end="-567"/>
        <w:jc w:val="center"/>
        <w:rPr>
          <w:rFonts w:ascii="Arial" w:hAnsi="Arial" w:eastAsia="Arial" w:cs="Arial"/>
          <w:sz w:val="22"/>
          <w:szCs w:val="22"/>
        </w:rPr>
      </w:pPr>
      <w:r>
        <w:rPr>
          <w:rFonts w:eastAsia="Arial" w:cs="Arial" w:ascii="Arial" w:hAnsi="Arial"/>
          <w:sz w:val="22"/>
          <w:szCs w:val="22"/>
        </w:rPr>
      </w:r>
    </w:p>
    <w:p>
      <w:pPr>
        <w:pStyle w:val="normal1"/>
        <w:ind w:end="-567"/>
        <w:jc w:val="center"/>
        <w:rPr>
          <w:rFonts w:ascii="Arial" w:hAnsi="Arial" w:eastAsia="Arial" w:cs="Arial"/>
          <w:b/>
          <w:u w:val="single"/>
        </w:rPr>
      </w:pPr>
      <w:r>
        <w:rPr>
          <w:rFonts w:eastAsia="Arial" w:cs="Arial" w:ascii="Arial" w:hAnsi="Arial"/>
          <w:b/>
          <w:u w:val="single"/>
        </w:rPr>
        <w:t>Declaração Termo de Ciência e Responsabilidade</w:t>
      </w:r>
    </w:p>
    <w:p>
      <w:pPr>
        <w:pStyle w:val="normal1"/>
        <w:ind w:end="-567"/>
        <w:jc w:val="both"/>
        <w:rPr>
          <w:rFonts w:ascii="Arial" w:hAnsi="Arial" w:eastAsia="Arial" w:cs="Arial"/>
          <w:b/>
          <w:sz w:val="22"/>
          <w:szCs w:val="22"/>
        </w:rPr>
      </w:pPr>
      <w:r>
        <w:rPr>
          <w:rFonts w:eastAsia="Arial" w:cs="Arial" w:ascii="Arial" w:hAnsi="Arial"/>
          <w:b/>
          <w:sz w:val="22"/>
          <w:szCs w:val="22"/>
        </w:rPr>
        <w:t>Lei Complementar nº 15.907, de 16 de Dezembro de 2022 (que altera termos da Lei Complementar nº 14.376/2013)</w:t>
      </w:r>
    </w:p>
    <w:p>
      <w:pPr>
        <w:pStyle w:val="normal1"/>
        <w:ind w:end="-567"/>
        <w:jc w:val="both"/>
        <w:rPr>
          <w:rFonts w:ascii="Arial" w:hAnsi="Arial" w:eastAsia="Arial" w:cs="Arial"/>
          <w:sz w:val="22"/>
          <w:szCs w:val="22"/>
        </w:rPr>
      </w:pPr>
      <w:r>
        <w:rPr>
          <w:rFonts w:eastAsia="Arial" w:cs="Arial" w:ascii="Arial" w:hAnsi="Arial"/>
          <w:sz w:val="22"/>
          <w:szCs w:val="22"/>
        </w:rPr>
      </w:r>
    </w:p>
    <w:p>
      <w:pPr>
        <w:pStyle w:val="normal1"/>
        <w:ind w:end="-567"/>
        <w:jc w:val="both"/>
        <w:rPr>
          <w:rFonts w:ascii="Arial" w:hAnsi="Arial" w:eastAsia="Arial" w:cs="Arial"/>
          <w:sz w:val="22"/>
          <w:szCs w:val="22"/>
        </w:rPr>
      </w:pPr>
      <w:r>
        <w:rPr>
          <w:rFonts w:eastAsia="Arial" w:cs="Arial" w:ascii="Arial" w:hAnsi="Arial"/>
          <w:sz w:val="22"/>
          <w:szCs w:val="22"/>
        </w:rPr>
        <w:t xml:space="preserve">Declaro, para os devidos fins, ter conhecimento do teor da Lei Complementar Estadual nº 15.907/2022, e </w:t>
      </w:r>
      <w:r>
        <w:rPr>
          <w:rFonts w:eastAsia="Arial" w:cs="Arial" w:ascii="Arial" w:hAnsi="Arial"/>
          <w:sz w:val="22"/>
          <w:szCs w:val="22"/>
          <w:u w:val="single"/>
        </w:rPr>
        <w:t>afirmo</w:t>
      </w:r>
      <w:r>
        <w:rPr>
          <w:rFonts w:eastAsia="Arial" w:cs="Arial" w:ascii="Arial" w:hAnsi="Arial"/>
          <w:sz w:val="22"/>
          <w:szCs w:val="22"/>
        </w:rPr>
        <w:t xml:space="preserve"> que a atividade declarada e exercida, bem como as edificações e áreas nela existentes são consideradas de baixo risco, sendo dispensadas de licenciamento/alvará APPCI, desde que enquadradas nos seguintes critérios:</w:t>
      </w:r>
    </w:p>
    <w:p>
      <w:pPr>
        <w:pStyle w:val="normal1"/>
        <w:ind w:end="-567"/>
        <w:jc w:val="both"/>
        <w:rPr>
          <w:rFonts w:ascii="Arial" w:hAnsi="Arial" w:eastAsia="Arial" w:cs="Arial"/>
          <w:sz w:val="22"/>
          <w:szCs w:val="22"/>
        </w:rPr>
      </w:pPr>
      <w:r>
        <w:rPr>
          <w:rFonts w:eastAsia="Arial" w:cs="Arial" w:ascii="Arial" w:hAnsi="Arial"/>
          <w:b/>
          <w:sz w:val="22"/>
          <w:szCs w:val="22"/>
        </w:rPr>
        <w:t>a)</w:t>
      </w:r>
      <w:r>
        <w:rPr>
          <w:rFonts w:eastAsia="Arial" w:cs="Arial" w:ascii="Arial" w:hAnsi="Arial"/>
          <w:sz w:val="22"/>
          <w:szCs w:val="22"/>
        </w:rPr>
        <w:t xml:space="preserve"> local com área construída de até 200m² (duzentos metros quadrados);</w:t>
      </w:r>
    </w:p>
    <w:p>
      <w:pPr>
        <w:pStyle w:val="normal1"/>
        <w:ind w:end="-567"/>
        <w:jc w:val="both"/>
        <w:rPr>
          <w:rFonts w:ascii="Arial" w:hAnsi="Arial" w:eastAsia="Arial" w:cs="Arial"/>
          <w:sz w:val="22"/>
          <w:szCs w:val="22"/>
        </w:rPr>
      </w:pPr>
      <w:r>
        <w:rPr>
          <w:rFonts w:eastAsia="Arial" w:cs="Arial" w:ascii="Arial" w:hAnsi="Arial"/>
          <w:b/>
          <w:sz w:val="22"/>
          <w:szCs w:val="22"/>
        </w:rPr>
        <w:t>b)</w:t>
      </w:r>
      <w:r>
        <w:rPr>
          <w:rFonts w:eastAsia="Arial" w:cs="Arial" w:ascii="Arial" w:hAnsi="Arial"/>
          <w:sz w:val="22"/>
          <w:szCs w:val="22"/>
        </w:rPr>
        <w:t xml:space="preserve"> classificação com grau de risco de incêndio baixo ou médio, conforme as tabelas constantes em Decreto Estadual;</w:t>
      </w:r>
    </w:p>
    <w:p>
      <w:pPr>
        <w:pStyle w:val="normal1"/>
        <w:ind w:end="-567"/>
        <w:jc w:val="both"/>
        <w:rPr>
          <w:rFonts w:ascii="Arial" w:hAnsi="Arial" w:eastAsia="Arial" w:cs="Arial"/>
          <w:sz w:val="22"/>
          <w:szCs w:val="22"/>
        </w:rPr>
      </w:pPr>
      <w:r>
        <w:rPr>
          <w:rFonts w:eastAsia="Arial" w:cs="Arial" w:ascii="Arial" w:hAnsi="Arial"/>
          <w:b/>
          <w:sz w:val="22"/>
          <w:szCs w:val="22"/>
        </w:rPr>
        <w:t>c)</w:t>
      </w:r>
      <w:r>
        <w:rPr>
          <w:rFonts w:eastAsia="Arial" w:cs="Arial" w:ascii="Arial" w:hAnsi="Arial"/>
          <w:sz w:val="22"/>
          <w:szCs w:val="22"/>
        </w:rPr>
        <w:t xml:space="preserve"> não se enquadrar nas divisões: F-5, F-6, F-7, F-11, F-12, G-3, G-4, G-5, G-6 e nos grupos L e M conforme as tabelas constantes em Decreto Estadual;</w:t>
      </w:r>
    </w:p>
    <w:p>
      <w:pPr>
        <w:pStyle w:val="normal1"/>
        <w:ind w:end="-567"/>
        <w:jc w:val="both"/>
        <w:rPr>
          <w:rFonts w:ascii="Arial" w:hAnsi="Arial" w:eastAsia="Arial" w:cs="Arial"/>
          <w:sz w:val="22"/>
          <w:szCs w:val="22"/>
        </w:rPr>
      </w:pPr>
      <w:r>
        <w:rPr>
          <w:rFonts w:eastAsia="Arial" w:cs="Arial" w:ascii="Arial" w:hAnsi="Arial"/>
          <w:b/>
          <w:sz w:val="22"/>
          <w:szCs w:val="22"/>
        </w:rPr>
        <w:t xml:space="preserve">d) </w:t>
      </w:r>
      <w:r>
        <w:rPr>
          <w:rFonts w:eastAsia="Arial" w:cs="Arial" w:ascii="Arial" w:hAnsi="Arial"/>
          <w:sz w:val="22"/>
          <w:szCs w:val="22"/>
        </w:rPr>
        <w:t>possuir até 2 (dois) pavimentos;</w:t>
      </w:r>
    </w:p>
    <w:p>
      <w:pPr>
        <w:pStyle w:val="normal1"/>
        <w:ind w:end="-567"/>
        <w:jc w:val="both"/>
        <w:rPr>
          <w:rFonts w:ascii="Arial" w:hAnsi="Arial" w:eastAsia="Arial" w:cs="Arial"/>
          <w:sz w:val="22"/>
          <w:szCs w:val="22"/>
        </w:rPr>
      </w:pPr>
      <w:r>
        <w:rPr>
          <w:rFonts w:eastAsia="Arial" w:cs="Arial" w:ascii="Arial" w:hAnsi="Arial"/>
          <w:b/>
          <w:sz w:val="22"/>
          <w:szCs w:val="22"/>
        </w:rPr>
        <w:t>e)</w:t>
      </w:r>
      <w:r>
        <w:rPr>
          <w:rFonts w:eastAsia="Arial" w:cs="Arial" w:ascii="Arial" w:hAnsi="Arial"/>
          <w:sz w:val="22"/>
          <w:szCs w:val="22"/>
        </w:rPr>
        <w:t xml:space="preserve"> não possuir depósito ou áreas de manipulação de combustíveis, inflamáveis, explosivos ou substâncias com alto potencial lesivo à saúde humana, ao meio ambiente ou ao patrimônio, tais como peróxidos orgânicos, substâncias oxidantes, substâncias tóxicas, substâncias radioativas, substâncias corrosivas e substâncias perigosas diversas;</w:t>
      </w:r>
    </w:p>
    <w:p>
      <w:pPr>
        <w:pStyle w:val="normal1"/>
        <w:ind w:end="-567"/>
        <w:jc w:val="both"/>
        <w:rPr>
          <w:rFonts w:ascii="Arial" w:hAnsi="Arial" w:eastAsia="Arial" w:cs="Arial"/>
          <w:sz w:val="22"/>
          <w:szCs w:val="22"/>
        </w:rPr>
      </w:pPr>
      <w:r>
        <w:rPr>
          <w:rFonts w:eastAsia="Arial" w:cs="Arial" w:ascii="Arial" w:hAnsi="Arial"/>
          <w:b/>
          <w:sz w:val="22"/>
          <w:szCs w:val="22"/>
        </w:rPr>
        <w:t>f)</w:t>
      </w:r>
      <w:r>
        <w:rPr>
          <w:rFonts w:eastAsia="Arial" w:cs="Arial" w:ascii="Arial" w:hAnsi="Arial"/>
          <w:sz w:val="22"/>
          <w:szCs w:val="22"/>
        </w:rPr>
        <w:t xml:space="preserve"> não possuir mais de 26 kg (vinte e seis quilogramas) de GLP - gás liquefeito de petróleo;</w:t>
      </w:r>
    </w:p>
    <w:p>
      <w:pPr>
        <w:pStyle w:val="normal1"/>
        <w:ind w:end="-567"/>
        <w:jc w:val="both"/>
        <w:rPr>
          <w:rFonts w:ascii="Arial" w:hAnsi="Arial" w:eastAsia="Arial" w:cs="Arial"/>
          <w:sz w:val="22"/>
          <w:szCs w:val="22"/>
        </w:rPr>
      </w:pPr>
      <w:r>
        <w:rPr>
          <w:rFonts w:eastAsia="Arial" w:cs="Arial" w:ascii="Arial" w:hAnsi="Arial"/>
          <w:b/>
          <w:sz w:val="22"/>
          <w:szCs w:val="22"/>
        </w:rPr>
        <w:t>g)</w:t>
      </w:r>
      <w:r>
        <w:rPr>
          <w:rFonts w:eastAsia="Arial" w:cs="Arial" w:ascii="Arial" w:hAnsi="Arial"/>
          <w:sz w:val="22"/>
          <w:szCs w:val="22"/>
        </w:rPr>
        <w:t xml:space="preserve"> não possuir subsolo com área superior a 50m² (cinquenta metros quadrados);</w:t>
      </w:r>
    </w:p>
    <w:p>
      <w:pPr>
        <w:pStyle w:val="normal1"/>
        <w:ind w:end="-567"/>
        <w:jc w:val="both"/>
        <w:rPr>
          <w:rFonts w:ascii="Arial" w:hAnsi="Arial" w:eastAsia="Arial" w:cs="Arial"/>
          <w:sz w:val="22"/>
          <w:szCs w:val="22"/>
        </w:rPr>
      </w:pPr>
      <w:r>
        <w:rPr>
          <w:rFonts w:eastAsia="Arial" w:cs="Arial" w:ascii="Arial" w:hAnsi="Arial"/>
          <w:b/>
          <w:sz w:val="22"/>
          <w:szCs w:val="22"/>
        </w:rPr>
        <w:t>h)</w:t>
      </w:r>
      <w:r>
        <w:rPr>
          <w:rFonts w:eastAsia="Arial" w:cs="Arial" w:ascii="Arial" w:hAnsi="Arial"/>
          <w:sz w:val="22"/>
          <w:szCs w:val="22"/>
        </w:rPr>
        <w:t xml:space="preserve"> o proprietário e/ou responsável pelo uso das edificações e/ou áreas de risco são responsáveis por providenciar as medidas de segurança contra incêndio (instalação de extintores, sinalização de emergência, iluminação e saída de emergência);</w:t>
      </w:r>
    </w:p>
    <w:p>
      <w:pPr>
        <w:pStyle w:val="normal1"/>
        <w:ind w:end="-567"/>
        <w:jc w:val="both"/>
        <w:rPr>
          <w:rFonts w:ascii="Arial" w:hAnsi="Arial" w:eastAsia="Arial" w:cs="Arial"/>
          <w:sz w:val="22"/>
          <w:szCs w:val="22"/>
        </w:rPr>
      </w:pPr>
      <w:r>
        <w:rPr>
          <w:rFonts w:eastAsia="Arial" w:cs="Arial" w:ascii="Arial" w:hAnsi="Arial"/>
          <w:b/>
          <w:sz w:val="22"/>
          <w:szCs w:val="22"/>
        </w:rPr>
        <w:t>i)</w:t>
      </w:r>
      <w:r>
        <w:rPr>
          <w:rFonts w:eastAsia="Arial" w:cs="Arial" w:ascii="Arial" w:hAnsi="Arial"/>
          <w:sz w:val="22"/>
          <w:szCs w:val="22"/>
        </w:rPr>
        <w:t xml:space="preserve"> manutenção preventiva quanto a segurança do local;</w:t>
      </w:r>
    </w:p>
    <w:p>
      <w:pPr>
        <w:pStyle w:val="normal1"/>
        <w:ind w:end="-567"/>
        <w:jc w:val="both"/>
        <w:rPr>
          <w:rFonts w:ascii="Arial" w:hAnsi="Arial" w:eastAsia="Arial" w:cs="Arial"/>
          <w:sz w:val="22"/>
          <w:szCs w:val="22"/>
        </w:rPr>
      </w:pPr>
      <w:r>
        <w:rPr>
          <w:rFonts w:eastAsia="Arial" w:cs="Arial" w:ascii="Arial" w:hAnsi="Arial"/>
          <w:b/>
          <w:sz w:val="22"/>
          <w:szCs w:val="22"/>
        </w:rPr>
        <w:t xml:space="preserve">j) </w:t>
      </w:r>
      <w:r>
        <w:rPr>
          <w:rFonts w:eastAsia="Arial" w:cs="Arial" w:ascii="Arial" w:hAnsi="Arial"/>
          <w:sz w:val="22"/>
          <w:szCs w:val="22"/>
        </w:rPr>
        <w:t>demais exigências constantes na lei.</w:t>
      </w:r>
    </w:p>
    <w:p>
      <w:pPr>
        <w:pStyle w:val="normal1"/>
        <w:numPr>
          <w:ilvl w:val="0"/>
          <w:numId w:val="1"/>
        </w:numPr>
        <w:ind w:hanging="360" w:start="720" w:end="-567"/>
        <w:jc w:val="both"/>
        <w:rPr>
          <w:rFonts w:ascii="Arial" w:hAnsi="Arial" w:eastAsia="Arial" w:cs="Arial"/>
          <w:sz w:val="22"/>
          <w:szCs w:val="22"/>
        </w:rPr>
      </w:pPr>
      <w:r>
        <w:rPr>
          <w:rFonts w:eastAsia="Arial" w:cs="Arial" w:ascii="Arial" w:hAnsi="Arial"/>
          <w:sz w:val="22"/>
          <w:szCs w:val="22"/>
        </w:rPr>
        <w:t xml:space="preserve">Aplicam-se às exigências acima a observação ao </w:t>
      </w:r>
      <w:r>
        <w:rPr>
          <w:rFonts w:eastAsia="Arial" w:cs="Arial" w:ascii="Arial" w:hAnsi="Arial"/>
          <w:sz w:val="22"/>
          <w:szCs w:val="22"/>
          <w:u w:val="single"/>
        </w:rPr>
        <w:t>Isolamento de Risco</w:t>
      </w:r>
      <w:r>
        <w:rPr>
          <w:rFonts w:eastAsia="Arial" w:cs="Arial" w:ascii="Arial" w:hAnsi="Arial"/>
          <w:sz w:val="22"/>
          <w:szCs w:val="22"/>
        </w:rPr>
        <w:t>: trata-se de uma técnica permitindo que diferentes edificações, ou diferentes partes de uma mesma edificação, possam ser consideradas de forma independentes entre si para fins de medidas de segurança. Para tanto, as partes de uma mesma edificação que atendam aos quesitos A, B, C, D, E, F, G e J devem observar a exigência desta técnica, comprovando que essas duas áreas estão adequadamente separadas através de elementos com propriedades corta-fogo, acessos independentes, paredes sem janela ou qualquer acesso à outra parte, de forma que, se um princípio de incêndio iniciar em uma das partes, a outra não seja afetada nos requisitos descritos acima.</w:t>
      </w:r>
    </w:p>
    <w:p>
      <w:pPr>
        <w:pStyle w:val="normal1"/>
        <w:numPr>
          <w:ilvl w:val="0"/>
          <w:numId w:val="1"/>
        </w:numPr>
        <w:ind w:hanging="360" w:start="720" w:end="-567"/>
        <w:jc w:val="both"/>
        <w:rPr>
          <w:rFonts w:ascii="Arial" w:hAnsi="Arial" w:eastAsia="Arial" w:cs="Arial"/>
          <w:sz w:val="22"/>
          <w:szCs w:val="22"/>
        </w:rPr>
      </w:pPr>
      <w:r>
        <w:rPr>
          <w:rFonts w:eastAsia="Arial" w:cs="Arial" w:ascii="Arial" w:hAnsi="Arial"/>
          <w:sz w:val="22"/>
          <w:szCs w:val="22"/>
        </w:rPr>
        <w:t>Quando a edificação ou área de risco de incêndio vier a sofrer modificações que importem em alteração do seu enquadramento como atividade de baixo risco, o proprietário ou o responsável pelo seu uso deverá providenciar o licenciamento junto ao CBMRS antes de qualquer alteração.</w:t>
      </w:r>
    </w:p>
    <w:p>
      <w:pPr>
        <w:pStyle w:val="normal1"/>
        <w:numPr>
          <w:ilvl w:val="0"/>
          <w:numId w:val="1"/>
        </w:numPr>
        <w:ind w:hanging="360" w:start="720" w:end="-567"/>
        <w:jc w:val="both"/>
        <w:rPr>
          <w:rFonts w:ascii="Arial" w:hAnsi="Arial" w:eastAsia="Arial" w:cs="Arial"/>
          <w:sz w:val="22"/>
          <w:szCs w:val="22"/>
        </w:rPr>
      </w:pPr>
      <w:r>
        <w:rPr>
          <w:rFonts w:eastAsia="Arial" w:cs="Arial" w:ascii="Arial" w:hAnsi="Arial"/>
          <w:sz w:val="22"/>
          <w:szCs w:val="22"/>
        </w:rPr>
        <w:t>O empreendimento  classificado como baixo risco poderá ser vistoriado extraordinariamente pelo CBMRS a qualquer tempo, a fim de conferir o seu enquadramento como baixo risco bem como se as medidas de segurança obrigatórias contra incêndios foram devidamente instaladas e encontram-se em plenas condições de uso e funcionamento, entanto o empreendedor sujeito a  sanções administrativas previstas na legislação vigente, sem prejuízo das demais sanções legais.</w:t>
      </w:r>
    </w:p>
    <w:p>
      <w:pPr>
        <w:pStyle w:val="normal1"/>
        <w:ind w:hanging="0" w:start="0" w:end="-567"/>
        <w:jc w:val="both"/>
        <w:rPr>
          <w:rFonts w:ascii="Arial" w:hAnsi="Arial" w:eastAsia="Arial" w:cs="Arial"/>
          <w:sz w:val="22"/>
          <w:szCs w:val="22"/>
        </w:rPr>
      </w:pPr>
      <w:r>
        <w:rPr>
          <w:rFonts w:eastAsia="Arial" w:cs="Arial" w:ascii="Arial" w:hAnsi="Arial"/>
          <w:sz w:val="22"/>
          <w:szCs w:val="22"/>
        </w:rPr>
      </w:r>
    </w:p>
    <w:p>
      <w:pPr>
        <w:pStyle w:val="normal1"/>
        <w:ind w:hanging="0" w:start="0" w:end="-567"/>
        <w:jc w:val="both"/>
        <w:rPr>
          <w:rFonts w:ascii="Arial" w:hAnsi="Arial" w:eastAsia="Arial" w:cs="Arial"/>
          <w:sz w:val="22"/>
          <w:szCs w:val="22"/>
        </w:rPr>
      </w:pPr>
      <w:r>
        <w:rPr>
          <w:rFonts w:eastAsia="Arial" w:cs="Arial" w:ascii="Arial" w:hAnsi="Arial"/>
          <w:b/>
          <w:sz w:val="22"/>
          <w:szCs w:val="22"/>
        </w:rPr>
        <w:t>Declaro ciência total do teor do documento acima e assumo integralmente a responsabilização pela adoção de medidas de segurança, prevenção e proteção contra incêndios previstos na Lei Complementar nº 14.376/2013 e alterações determinadas na Lei Complementar nº 15.907/2022, razão pela qual assino a presente declaração.</w:t>
      </w:r>
    </w:p>
    <w:p>
      <w:pPr>
        <w:pStyle w:val="normal1"/>
        <w:ind w:hanging="0" w:start="0" w:end="-567"/>
        <w:jc w:val="both"/>
        <w:rPr>
          <w:rFonts w:ascii="Arial" w:hAnsi="Arial" w:eastAsia="Arial" w:cs="Arial"/>
          <w:sz w:val="22"/>
          <w:szCs w:val="22"/>
        </w:rPr>
      </w:pPr>
      <w:r>
        <w:rPr>
          <w:rFonts w:eastAsia="Arial" w:cs="Arial" w:ascii="Arial" w:hAnsi="Arial"/>
          <w:sz w:val="22"/>
          <w:szCs w:val="22"/>
        </w:rPr>
      </w:r>
    </w:p>
    <w:p>
      <w:pPr>
        <w:pStyle w:val="normal1"/>
        <w:ind w:hanging="0" w:start="0" w:end="-567"/>
        <w:jc w:val="both"/>
        <w:rPr>
          <w:rFonts w:ascii="Arial" w:hAnsi="Arial" w:eastAsia="Arial" w:cs="Arial"/>
          <w:sz w:val="22"/>
          <w:szCs w:val="22"/>
        </w:rPr>
      </w:pPr>
      <w:r>
        <w:rPr>
          <w:rFonts w:eastAsia="Arial" w:cs="Arial" w:ascii="Arial" w:hAnsi="Arial"/>
          <w:sz w:val="22"/>
          <w:szCs w:val="22"/>
        </w:rPr>
        <w:t xml:space="preserve">Assinatura:______________________________    </w:t>
        <w:tab/>
        <w:t xml:space="preserve">         Formigueiro/RS,  </w:t>
      </w:r>
      <w:r>
        <w:rPr>
          <w:rFonts w:eastAsia="Arial" w:cs="Arial" w:ascii="Arial" w:hAnsi="Arial"/>
          <w:sz w:val="22"/>
          <w:szCs w:val="22"/>
          <w:u w:val="single"/>
        </w:rPr>
        <w:t xml:space="preserve">        </w:t>
      </w:r>
      <w:r>
        <w:rPr>
          <w:rFonts w:eastAsia="Arial" w:cs="Arial" w:ascii="Arial" w:hAnsi="Arial"/>
          <w:sz w:val="22"/>
          <w:szCs w:val="22"/>
        </w:rPr>
        <w:t xml:space="preserve"> de </w:t>
      </w:r>
      <w:r>
        <w:rPr>
          <w:rFonts w:eastAsia="Arial" w:cs="Arial" w:ascii="Arial" w:hAnsi="Arial"/>
          <w:sz w:val="22"/>
          <w:szCs w:val="22"/>
          <w:u w:val="single"/>
        </w:rPr>
        <w:t xml:space="preserve">                      </w:t>
      </w:r>
      <w:r>
        <w:rPr>
          <w:rFonts w:eastAsia="Arial" w:cs="Arial" w:ascii="Arial" w:hAnsi="Arial"/>
          <w:sz w:val="22"/>
          <w:szCs w:val="22"/>
        </w:rPr>
        <w:t>de 20</w:t>
      </w:r>
      <w:r>
        <w:rPr>
          <w:rFonts w:eastAsia="Arial" w:cs="Arial" w:ascii="Arial" w:hAnsi="Arial"/>
          <w:sz w:val="22"/>
          <w:szCs w:val="22"/>
          <w:u w:val="single"/>
        </w:rPr>
        <w:t xml:space="preserve">      </w:t>
      </w:r>
      <w:r>
        <w:rPr>
          <w:rFonts w:eastAsia="Arial" w:cs="Arial" w:ascii="Arial" w:hAnsi="Arial"/>
          <w:sz w:val="22"/>
          <w:szCs w:val="22"/>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07" w:right="907" w:gutter="0" w:header="426" w:top="483" w:footer="143"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Liberation Sans">
    <w:altName w:val="Arial"/>
    <w:charset w:val="01" w:characterSet="utf-8"/>
    <w:family w:val="swiss"/>
    <w:pitch w:val="variable"/>
  </w:font>
  <w:font w:name="Georgia">
    <w:charset w:val="01" w:characterSet="utf-8"/>
    <w:family w:val="roman"/>
    <w:pitch w:val="variable"/>
  </w:font>
  <w:font w:name="Arial">
    <w:charset w:val="01" w:characterSet="utf-8"/>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567" w:end="-699"/>
      <w:jc w:val="center"/>
      <w:rPr>
        <w:rFonts w:ascii="Tahoma" w:hAnsi="Tahoma" w:eastAsia="Tahoma" w:cs="Tahoma"/>
        <w:b w:val="false"/>
        <w:i w:val="false"/>
        <w:caps w:val="false"/>
        <w:smallCaps w:val="false"/>
        <w:strike w:val="false"/>
        <w:dstrike w:val="false"/>
        <w:color w:val="000000"/>
        <w:position w:val="0"/>
        <w:sz w:val="20"/>
        <w:szCs w:val="20"/>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0"/>
        <w:szCs w:val="20"/>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jc w:val="start"/>
      <w:rPr>
        <w:rFonts w:ascii="Tahoma" w:hAnsi="Tahoma" w:eastAsia="Tahoma" w:cs="Tahoma"/>
        <w:b w:val="false"/>
        <w:i w:val="false"/>
        <w:caps w:val="false"/>
        <w:smallCaps w:val="false"/>
        <w:strike w:val="false"/>
        <w:dstrike w:val="false"/>
        <w:color w:val="000000"/>
        <w:position w:val="0"/>
        <w:sz w:val="20"/>
        <w:szCs w:val="20"/>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0"/>
        <w:szCs w:val="20"/>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567" w:end="-699"/>
      <w:jc w:val="center"/>
      <w:rPr>
        <w:rFonts w:ascii="Tahoma" w:hAnsi="Tahoma" w:eastAsia="Tahoma" w:cs="Tahoma"/>
        <w:b w:val="false"/>
        <w:i w:val="false"/>
        <w:caps w:val="false"/>
        <w:smallCaps w:val="false"/>
        <w:strike w:val="false"/>
        <w:dstrike w:val="false"/>
        <w:color w:val="000000"/>
        <w:position w:val="0"/>
        <w:sz w:val="20"/>
        <w:szCs w:val="20"/>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0"/>
        <w:szCs w:val="20"/>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jc w:val="start"/>
      <w:rPr>
        <w:rFonts w:ascii="Tahoma" w:hAnsi="Tahoma" w:eastAsia="Tahoma" w:cs="Tahoma"/>
        <w:b w:val="false"/>
        <w:i w:val="false"/>
        <w:caps w:val="false"/>
        <w:smallCaps w:val="false"/>
        <w:strike w:val="false"/>
        <w:dstrike w:val="false"/>
        <w:color w:val="000000"/>
        <w:position w:val="0"/>
        <w:sz w:val="20"/>
        <w:szCs w:val="20"/>
        <w:u w:val="none"/>
        <w:shd w:fill="auto" w:val="clear"/>
        <w:vertAlign w:val="baseline"/>
      </w:rPr>
    </w:pPr>
    <w:r>
      <w:rPr>
        <w:rFonts w:eastAsia="Tahoma" w:cs="Tahoma" w:ascii="Tahoma" w:hAnsi="Tahoma"/>
        <w:b w:val="false"/>
        <w:i w:val="false"/>
        <w:caps w:val="false"/>
        <w:smallCaps w:val="false"/>
        <w:strike w:val="false"/>
        <w:dstrike w:val="false"/>
        <w:color w:val="000000"/>
        <w:position w:val="0"/>
        <w:sz w:val="20"/>
        <w:szCs w:val="20"/>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drawing>
        <wp:anchor behindDoc="1" distT="0" distB="0" distL="0" distR="0" simplePos="0" locked="0" layoutInCell="1" allowOverlap="1" relativeHeight="3">
          <wp:simplePos x="0" y="0"/>
          <wp:positionH relativeFrom="column">
            <wp:posOffset>5553075</wp:posOffset>
          </wp:positionH>
          <wp:positionV relativeFrom="paragraph">
            <wp:posOffset>26035</wp:posOffset>
          </wp:positionV>
          <wp:extent cx="666750" cy="78359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8264" t="-5486" r="-21582" b="-18127"/>
                  <a:stretch>
                    <a:fillRect/>
                  </a:stretch>
                </pic:blipFill>
                <pic:spPr bwMode="auto">
                  <a:xfrm>
                    <a:off x="0" y="0"/>
                    <a:ext cx="666750" cy="783590"/>
                  </a:xfrm>
                  <a:prstGeom prst="rect">
                    <a:avLst/>
                  </a:prstGeom>
                  <a:noFill/>
                </pic:spPr>
              </pic:pic>
            </a:graphicData>
          </a:graphic>
        </wp:anchor>
      </w:drawing>
    </w:r>
    <w:r>
      <w:rPr>
        <w:rFonts w:eastAsia="Tahoma" w:cs="Tahoma" w:ascii="Tahoma" w:hAnsi="Tahoma"/>
        <w:b/>
        <w:sz w:val="22"/>
        <w:szCs w:val="22"/>
      </w:rPr>
      <w:t>ESTADO DO RIO GRANDE DO SUL</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PREFEITURA MUNICIPAL DE FORMIGUEIRO</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SECRETARIA MUNICIPAL DA SAÚDE</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SETOR DE VIGILÂNCIA SANITÁRIA</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jc w:val="star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mc:AlternateContent>
        <mc:Choice Requires="wps">
          <w:drawing>
            <wp:inline distT="0" distB="0" distL="0" distR="0">
              <wp:extent cx="6407785" cy="19050"/>
              <wp:effectExtent l="0" t="0" r="0" b="0"/>
              <wp:docPr id="2" name=""/>
              <a:graphic xmlns:a="http://schemas.openxmlformats.org/drawingml/2006/main">
                <a:graphicData uri="http://schemas.microsoft.com/office/word/2010/wordprocessingShape">
                  <wps:wsp>
                    <wps:cNvSpPr/>
                    <wps:nvSpPr>
                      <wps:cNvPr id="3" name=""/>
                      <wps:cNvSpPr/>
                    </wps:nvSpPr>
                    <wps:spPr>
                      <a:xfrm>
                        <a:off x="0" y="0"/>
                        <a:ext cx="640764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04.5pt;height:1.45pt;mso-wrap-style:none;v-text-anchor:middle;mso-position-horizontal:center;mso-position-vertical:top">
              <v:fill o:detectmouseclick="t" type="solid" color2="#5f5f5f"/>
              <v:stroke color="#3465a4" joinstyle="round" endcap="flat"/>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drawing>
        <wp:anchor behindDoc="1" distT="0" distB="0" distL="0" distR="0" simplePos="0" locked="0" layoutInCell="1" allowOverlap="1" relativeHeight="3">
          <wp:simplePos x="0" y="0"/>
          <wp:positionH relativeFrom="column">
            <wp:posOffset>5553075</wp:posOffset>
          </wp:positionH>
          <wp:positionV relativeFrom="paragraph">
            <wp:posOffset>26035</wp:posOffset>
          </wp:positionV>
          <wp:extent cx="666750" cy="78359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
                  <a:srcRect l="-8264" t="-5486" r="-21582" b="-18127"/>
                  <a:stretch>
                    <a:fillRect/>
                  </a:stretch>
                </pic:blipFill>
                <pic:spPr bwMode="auto">
                  <a:xfrm>
                    <a:off x="0" y="0"/>
                    <a:ext cx="666750" cy="783590"/>
                  </a:xfrm>
                  <a:prstGeom prst="rect">
                    <a:avLst/>
                  </a:prstGeom>
                  <a:noFill/>
                </pic:spPr>
              </pic:pic>
            </a:graphicData>
          </a:graphic>
        </wp:anchor>
      </w:drawing>
    </w:r>
    <w:r>
      <w:rPr>
        <w:rFonts w:eastAsia="Tahoma" w:cs="Tahoma" w:ascii="Tahoma" w:hAnsi="Tahoma"/>
        <w:b/>
        <w:sz w:val="22"/>
        <w:szCs w:val="22"/>
      </w:rPr>
      <w:t>ESTADO DO RIO GRANDE DO SUL</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PREFEITURA MUNICIPAL DE FORMIGUEIRO</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SECRETARIA MUNICIPAL DA SAÚDE</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rPr>
        <w:rFonts w:ascii="Tahoma" w:hAnsi="Tahoma" w:eastAsia="Tahoma" w:cs="Tahoma"/>
        <w:b/>
        <w:sz w:val="22"/>
        <w:szCs w:val="22"/>
      </w:rPr>
    </w:pPr>
    <w:r>
      <w:rPr>
        <w:rFonts w:eastAsia="Tahoma" w:cs="Tahoma" w:ascii="Tahoma" w:hAnsi="Tahoma"/>
        <w:b/>
        <w:sz w:val="22"/>
        <w:szCs w:val="22"/>
      </w:rPr>
      <w:t>SETOR DE VIGILÂNCIA SANITÁRIA</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start="0" w:end="0"/>
      <w:jc w:val="star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mc:AlternateContent>
        <mc:Choice Requires="wps">
          <w:drawing>
            <wp:inline distT="0" distB="0" distL="0" distR="0">
              <wp:extent cx="6407785"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640764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04.5pt;height:1.45pt;mso-wrap-style:none;v-text-anchor:middle;mso-position-horizontal:center;mso-position-vertical:top">
              <v:fill o:detectmouseclick="t" type="solid" color2="#5f5f5f"/>
              <v:stroke color="#3465a4" joinstyle="round" endcap="flat"/>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pt-BR" w:eastAsia="zh-CN" w:bidi="hi-IN"/>
      </w:rPr>
    </w:rPrDefault>
    <w:pPrDefault>
      <w:pPr>
        <w:suppressAutoHyphens w:val="true"/>
      </w:pPr>
    </w:pPrDefault>
  </w:docDefaults>
  <w:style w:type="paragraph" w:styleId="Normal">
    <w:name w:val="Normal"/>
    <w:qFormat/>
    <w:pPr>
      <w:widowControl/>
      <w:bidi w:val="0"/>
      <w:spacing w:before="0" w:after="0"/>
      <w:jc w:val="start"/>
    </w:pPr>
    <w:rPr>
      <w:rFonts w:ascii="Times New Roman" w:hAnsi="Times New Roman" w:eastAsia="Noto Serif CJK SC" w:cs="Noto Sans Devanagari"/>
      <w:color w:val="auto"/>
      <w:kern w:val="0"/>
      <w:sz w:val="24"/>
      <w:szCs w:val="24"/>
      <w:lang w:val="pt-B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spacing w:lineRule="auto" w:line="240" w:before="240" w:after="60"/>
    </w:pPr>
    <w:rPr>
      <w:rFonts w:ascii="Cambria" w:hAnsi="Cambria" w:eastAsia="Cambria" w:cs="Cambria"/>
      <w:b/>
      <w:i/>
      <w:sz w:val="28"/>
      <w:szCs w:val="28"/>
    </w:rPr>
  </w:style>
  <w:style w:type="paragraph" w:styleId="Heading3">
    <w:name w:val="heading 3"/>
    <w:basedOn w:val="normal1"/>
    <w:next w:val="normal1"/>
    <w:qFormat/>
    <w:pPr>
      <w:keepNext w:val="true"/>
      <w:spacing w:lineRule="auto" w:line="240" w:before="240" w:after="60"/>
    </w:pPr>
    <w:rPr>
      <w:rFonts w:ascii="Cambria" w:hAnsi="Cambria" w:eastAsia="Cambria" w:cs="Cambria"/>
      <w:b/>
      <w:sz w:val="26"/>
      <w:szCs w:val="26"/>
    </w:rPr>
  </w:style>
  <w:style w:type="paragraph" w:styleId="Heading4">
    <w:name w:val="heading 4"/>
    <w:basedOn w:val="normal1"/>
    <w:next w:val="normal1"/>
    <w:qFormat/>
    <w:pPr>
      <w:keepNext w:val="true"/>
      <w:tabs>
        <w:tab w:val="clear" w:pos="720"/>
        <w:tab w:val="left" w:pos="5426" w:leader="none"/>
      </w:tabs>
      <w:jc w:val="end"/>
    </w:pPr>
    <w:rPr>
      <w:rFonts w:ascii="Tahoma" w:hAnsi="Tahoma" w:eastAsia="Tahoma" w:cs="Tahoma"/>
      <w:b/>
      <w:i/>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normal1" w:default="1">
    <w:name w:val="normal1"/>
    <w:qFormat/>
    <w:pPr>
      <w:widowControl/>
      <w:bidi w:val="0"/>
      <w:spacing w:before="0" w:after="0"/>
      <w:jc w:val="start"/>
    </w:pPr>
    <w:rPr>
      <w:rFonts w:ascii="Times New Roman" w:hAnsi="Times New Roman" w:eastAsia="Noto Serif CJK SC" w:cs="Noto Sans Devanagari"/>
      <w:color w:val="auto"/>
      <w:kern w:val="0"/>
      <w:sz w:val="24"/>
      <w:szCs w:val="24"/>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LibreOffice/25.8.4.2$Linux_X86_64 LibreOffice_project/0366609b1de41a39e1896ae41e33c673f2a73802</Application>
  <AppVersion>15.0000</AppVersion>
  <Pages>2</Pages>
  <Words>562</Words>
  <Characters>3202</Characters>
  <CharactersWithSpaces>3791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2026-02-24T14:56:40Z</dcterms:modified>
  <cp:revision>1</cp:revision>
  <dc:subject/>
  <dc:title/>
</cp:coreProperties>
</file>